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8" w:rsidRPr="005B1D3E" w:rsidRDefault="00B712F8" w:rsidP="00B712F8">
      <w:pPr>
        <w:jc w:val="center"/>
        <w:rPr>
          <w:b/>
          <w:sz w:val="32"/>
        </w:rPr>
      </w:pPr>
      <w:r w:rsidRPr="005B1D3E">
        <w:rPr>
          <w:b/>
          <w:color w:val="1F4E79" w:themeColor="accent1" w:themeShade="80"/>
          <w:sz w:val="32"/>
        </w:rPr>
        <w:t>世纪元亨</w:t>
      </w:r>
      <w:r w:rsidRPr="005B1D3E">
        <w:rPr>
          <w:rFonts w:hint="eastAsia"/>
          <w:b/>
          <w:color w:val="1F4E79" w:themeColor="accent1" w:themeShade="80"/>
          <w:sz w:val="32"/>
        </w:rPr>
        <w:t>V8</w:t>
      </w:r>
      <w:r w:rsidRPr="005B1D3E">
        <w:rPr>
          <w:rFonts w:hint="eastAsia"/>
          <w:b/>
          <w:color w:val="1F4E79" w:themeColor="accent1" w:themeShade="80"/>
          <w:sz w:val="32"/>
        </w:rPr>
        <w:t>病例征集表</w:t>
      </w:r>
      <w:r w:rsidR="00F42524" w:rsidRPr="005B1D3E">
        <w:rPr>
          <w:rFonts w:hint="eastAsia"/>
          <w:b/>
          <w:color w:val="1F4E79" w:themeColor="accent1" w:themeShade="80"/>
          <w:sz w:val="32"/>
        </w:rPr>
        <w:t>（示例）</w:t>
      </w:r>
    </w:p>
    <w:p w:rsidR="00A252C1" w:rsidRPr="005B1D3E" w:rsidRDefault="00A252C1" w:rsidP="00A252C1">
      <w:pPr>
        <w:jc w:val="left"/>
        <w:rPr>
          <w:b/>
          <w:color w:val="1F4E79" w:themeColor="accent1" w:themeShade="80"/>
          <w:szCs w:val="21"/>
        </w:rPr>
      </w:pPr>
      <w:r w:rsidRPr="005B1D3E">
        <w:rPr>
          <w:rFonts w:hint="eastAsia"/>
          <w:b/>
          <w:color w:val="1F4E79" w:themeColor="accent1" w:themeShade="80"/>
          <w:szCs w:val="21"/>
        </w:rPr>
        <w:t>填写要求：</w:t>
      </w:r>
    </w:p>
    <w:p w:rsidR="00D16973" w:rsidRPr="00D16973" w:rsidRDefault="00D16973" w:rsidP="00D16973">
      <w:pPr>
        <w:pStyle w:val="a6"/>
        <w:numPr>
          <w:ilvl w:val="0"/>
          <w:numId w:val="1"/>
        </w:numPr>
        <w:spacing w:line="360" w:lineRule="exact"/>
        <w:ind w:left="1196" w:firstLineChars="0" w:hanging="357"/>
        <w:jc w:val="left"/>
        <w:rPr>
          <w:rFonts w:hint="eastAsia"/>
          <w:color w:val="1F4E79" w:themeColor="accent1" w:themeShade="80"/>
          <w:szCs w:val="21"/>
        </w:rPr>
      </w:pPr>
      <w:r w:rsidRPr="00D16973">
        <w:rPr>
          <w:rFonts w:hint="eastAsia"/>
          <w:color w:val="1F4E79" w:themeColor="accent1" w:themeShade="80"/>
          <w:szCs w:val="21"/>
        </w:rPr>
        <w:t>必须完整填写项目：医院信息、病例基础信息、病史及临床症状、</w:t>
      </w:r>
      <w:r w:rsidRPr="00D16973">
        <w:rPr>
          <w:rFonts w:hint="eastAsia"/>
          <w:color w:val="1F4E79" w:themeColor="accent1" w:themeShade="80"/>
          <w:szCs w:val="21"/>
        </w:rPr>
        <w:t>PCR</w:t>
      </w:r>
      <w:r w:rsidRPr="00D16973">
        <w:rPr>
          <w:rFonts w:hint="eastAsia"/>
          <w:color w:val="1F4E79" w:themeColor="accent1" w:themeShade="80"/>
          <w:szCs w:val="21"/>
        </w:rPr>
        <w:t>检测项目、诊断结果、治疗方案、病例转归等，其余项目可根据实际工作，选择填写；</w:t>
      </w:r>
    </w:p>
    <w:p w:rsidR="00D16973" w:rsidRPr="00D16973" w:rsidRDefault="00D16973" w:rsidP="00D16973">
      <w:pPr>
        <w:pStyle w:val="a6"/>
        <w:numPr>
          <w:ilvl w:val="0"/>
          <w:numId w:val="1"/>
        </w:numPr>
        <w:spacing w:line="360" w:lineRule="exact"/>
        <w:ind w:left="1196" w:firstLineChars="0" w:hanging="357"/>
        <w:jc w:val="left"/>
        <w:rPr>
          <w:rFonts w:hint="eastAsia"/>
          <w:color w:val="1F4E79" w:themeColor="accent1" w:themeShade="80"/>
          <w:szCs w:val="21"/>
        </w:rPr>
      </w:pPr>
      <w:r w:rsidRPr="00D16973">
        <w:rPr>
          <w:rFonts w:hint="eastAsia"/>
          <w:color w:val="1F4E79" w:themeColor="accent1" w:themeShade="80"/>
          <w:szCs w:val="21"/>
        </w:rPr>
        <w:t>项目可直接填写文字或黏贴检查报告照片（请尽量注明日期）；影像学检查结果请将图片电子版同时作为附件提交；</w:t>
      </w:r>
    </w:p>
    <w:p w:rsidR="00A252C1" w:rsidRPr="005B1D3E" w:rsidRDefault="00AC6036" w:rsidP="00D16973">
      <w:pPr>
        <w:pStyle w:val="a6"/>
        <w:numPr>
          <w:ilvl w:val="0"/>
          <w:numId w:val="1"/>
        </w:numPr>
        <w:spacing w:line="360" w:lineRule="exact"/>
        <w:ind w:left="1196" w:firstLineChars="0" w:hanging="357"/>
        <w:jc w:val="left"/>
        <w:rPr>
          <w:color w:val="1F4E79" w:themeColor="accent1" w:themeShade="80"/>
          <w:szCs w:val="21"/>
        </w:rPr>
      </w:pPr>
      <w:r w:rsidRPr="005B1D3E">
        <w:rPr>
          <w:rFonts w:hint="eastAsia"/>
          <w:color w:val="1F4E79" w:themeColor="accent1" w:themeShade="80"/>
          <w:szCs w:val="21"/>
        </w:rPr>
        <w:t>可参考《世纪元亨</w:t>
      </w:r>
      <w:r w:rsidRPr="005B1D3E">
        <w:rPr>
          <w:rFonts w:hint="eastAsia"/>
          <w:color w:val="1F4E79" w:themeColor="accent1" w:themeShade="80"/>
          <w:szCs w:val="21"/>
        </w:rPr>
        <w:t>V8</w:t>
      </w:r>
      <w:r w:rsidRPr="005B1D3E">
        <w:rPr>
          <w:rFonts w:hint="eastAsia"/>
          <w:color w:val="1F4E79" w:themeColor="accent1" w:themeShade="80"/>
          <w:szCs w:val="21"/>
        </w:rPr>
        <w:t>病例征集表（示例）》填写，不明事宜可联系</w:t>
      </w:r>
      <w:r w:rsidR="00B955D2" w:rsidRPr="005B1D3E">
        <w:rPr>
          <w:rFonts w:hint="eastAsia"/>
          <w:color w:val="1F4E79" w:themeColor="accent1" w:themeShade="80"/>
          <w:szCs w:val="21"/>
        </w:rPr>
        <w:t>18514019639</w:t>
      </w:r>
      <w:r w:rsidR="00B955D2" w:rsidRPr="005B1D3E">
        <w:rPr>
          <w:rFonts w:hint="eastAsia"/>
          <w:color w:val="1F4E79" w:themeColor="accent1" w:themeShade="80"/>
          <w:szCs w:val="21"/>
        </w:rPr>
        <w:t>。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Spec="center" w:tblpY="4643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dashSmallGap" w:sz="4" w:space="0" w:color="BDD6EE" w:themeColor="accent1" w:themeTint="66"/>
          <w:insideV w:val="dashSmallGap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271"/>
        <w:gridCol w:w="316"/>
        <w:gridCol w:w="676"/>
        <w:gridCol w:w="851"/>
        <w:gridCol w:w="330"/>
        <w:gridCol w:w="1087"/>
        <w:gridCol w:w="427"/>
        <w:gridCol w:w="566"/>
        <w:gridCol w:w="670"/>
        <w:gridCol w:w="299"/>
        <w:gridCol w:w="920"/>
        <w:gridCol w:w="883"/>
      </w:tblGrid>
      <w:tr w:rsidR="00A252C1" w:rsidRPr="00F545EE" w:rsidTr="005B1D3E">
        <w:tc>
          <w:tcPr>
            <w:tcW w:w="8296" w:type="dxa"/>
            <w:gridSpan w:val="1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  <w:shd w:val="clear" w:color="BDD6EE" w:themeColor="accent1" w:themeTint="66" w:fill="9CC2E5" w:themeFill="accent1" w:themeFillTint="99"/>
            <w:vAlign w:val="center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医院信息</w:t>
            </w:r>
          </w:p>
        </w:tc>
      </w:tr>
      <w:tr w:rsidR="00A252C1" w:rsidRPr="00B712F8" w:rsidTr="00B955D2">
        <w:tc>
          <w:tcPr>
            <w:tcW w:w="1587" w:type="dxa"/>
            <w:gridSpan w:val="2"/>
            <w:tcBorders>
              <w:top w:val="single" w:sz="8" w:space="0" w:color="2E74B5" w:themeColor="accent1" w:themeShade="BF"/>
              <w:left w:val="single" w:sz="12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医院名称</w:t>
            </w:r>
          </w:p>
        </w:tc>
        <w:tc>
          <w:tcPr>
            <w:tcW w:w="3371" w:type="dxa"/>
            <w:gridSpan w:val="5"/>
            <w:tcBorders>
              <w:top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XX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XX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动物医院</w:t>
            </w:r>
          </w:p>
        </w:tc>
        <w:tc>
          <w:tcPr>
            <w:tcW w:w="1236" w:type="dxa"/>
            <w:gridSpan w:val="2"/>
            <w:tcBorders>
              <w:top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大夫姓名</w:t>
            </w:r>
          </w:p>
        </w:tc>
        <w:tc>
          <w:tcPr>
            <w:tcW w:w="2102" w:type="dxa"/>
            <w:gridSpan w:val="3"/>
            <w:tcBorders>
              <w:top w:val="single" w:sz="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XXX</w:t>
            </w:r>
          </w:p>
        </w:tc>
      </w:tr>
      <w:tr w:rsidR="00A252C1" w:rsidRPr="00B712F8" w:rsidTr="005B1D3E">
        <w:tc>
          <w:tcPr>
            <w:tcW w:w="1587" w:type="dxa"/>
            <w:gridSpan w:val="2"/>
            <w:tcBorders>
              <w:left w:val="single" w:sz="12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邮箱</w:t>
            </w:r>
          </w:p>
        </w:tc>
        <w:tc>
          <w:tcPr>
            <w:tcW w:w="3371" w:type="dxa"/>
            <w:gridSpan w:val="5"/>
            <w:tcBorders>
              <w:bottom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bottom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联系电话</w:t>
            </w:r>
          </w:p>
        </w:tc>
        <w:tc>
          <w:tcPr>
            <w:tcW w:w="2102" w:type="dxa"/>
            <w:gridSpan w:val="3"/>
            <w:tcBorders>
              <w:bottom w:val="single" w:sz="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252C1" w:rsidRPr="00F545EE" w:rsidTr="005B1D3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clear" w:color="9CC2E5" w:themeColor="accent1" w:themeTint="99" w:fill="9CC2E5" w:themeFill="accent1" w:themeFillTint="99"/>
            <w:vAlign w:val="center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病例基础信息</w:t>
            </w:r>
          </w:p>
        </w:tc>
      </w:tr>
      <w:tr w:rsidR="00A252C1" w:rsidRPr="00B712F8" w:rsidTr="00B955D2">
        <w:tc>
          <w:tcPr>
            <w:tcW w:w="1271" w:type="dxa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dashSmallGap" w:sz="4" w:space="0" w:color="BDD6EE" w:themeColor="accent1" w:themeTint="66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动物种类</w:t>
            </w:r>
          </w:p>
        </w:tc>
        <w:tc>
          <w:tcPr>
            <w:tcW w:w="992" w:type="dxa"/>
            <w:gridSpan w:val="2"/>
            <w:tcBorders>
              <w:top w:val="dashSmallGap" w:sz="4" w:space="0" w:color="BDD6EE" w:themeColor="accent1" w:themeTint="66"/>
              <w:bottom w:val="dashSmallGap" w:sz="4" w:space="0" w:color="BDD6EE" w:themeColor="accent1" w:themeTint="66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犬</w:t>
            </w:r>
          </w:p>
        </w:tc>
        <w:tc>
          <w:tcPr>
            <w:tcW w:w="851" w:type="dxa"/>
            <w:tcBorders>
              <w:top w:val="dashSmallGap" w:sz="4" w:space="0" w:color="BDD6EE" w:themeColor="accent1" w:themeTint="66"/>
              <w:bottom w:val="dashSmallGap" w:sz="4" w:space="0" w:color="BDD6EE" w:themeColor="accent1" w:themeTint="66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品种</w:t>
            </w:r>
          </w:p>
        </w:tc>
        <w:tc>
          <w:tcPr>
            <w:tcW w:w="1417" w:type="dxa"/>
            <w:gridSpan w:val="2"/>
            <w:tcBorders>
              <w:top w:val="dashSmallGap" w:sz="4" w:space="0" w:color="BDD6EE" w:themeColor="accent1" w:themeTint="66"/>
              <w:bottom w:val="dashSmallGap" w:sz="4" w:space="0" w:color="BDD6EE" w:themeColor="accent1" w:themeTint="66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德牧</w:t>
            </w:r>
          </w:p>
        </w:tc>
        <w:tc>
          <w:tcPr>
            <w:tcW w:w="993" w:type="dxa"/>
            <w:gridSpan w:val="2"/>
            <w:tcBorders>
              <w:top w:val="dashSmallGap" w:sz="4" w:space="0" w:color="BDD6EE" w:themeColor="accent1" w:themeTint="66"/>
              <w:bottom w:val="dashSmallGap" w:sz="4" w:space="0" w:color="BDD6EE" w:themeColor="accent1" w:themeTint="66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年龄</w:t>
            </w:r>
          </w:p>
        </w:tc>
        <w:tc>
          <w:tcPr>
            <w:tcW w:w="969" w:type="dxa"/>
            <w:gridSpan w:val="2"/>
            <w:tcBorders>
              <w:top w:val="dashSmallGap" w:sz="4" w:space="0" w:color="BDD6EE" w:themeColor="accent1" w:themeTint="66"/>
              <w:bottom w:val="dashSmallGap" w:sz="4" w:space="0" w:color="BDD6EE" w:themeColor="accent1" w:themeTint="66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1.5Y</w:t>
            </w:r>
          </w:p>
        </w:tc>
        <w:tc>
          <w:tcPr>
            <w:tcW w:w="920" w:type="dxa"/>
            <w:tcBorders>
              <w:top w:val="dashSmallGap" w:sz="4" w:space="0" w:color="BDD6EE" w:themeColor="accent1" w:themeTint="66"/>
              <w:bottom w:val="dashSmallGap" w:sz="4" w:space="0" w:color="BDD6EE" w:themeColor="accent1" w:themeTint="66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体重</w:t>
            </w:r>
          </w:p>
        </w:tc>
        <w:tc>
          <w:tcPr>
            <w:tcW w:w="883" w:type="dxa"/>
            <w:tcBorders>
              <w:top w:val="dashSmallGap" w:sz="4" w:space="0" w:color="BDD6EE" w:themeColor="accent1" w:themeTint="66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22.4kg</w:t>
            </w:r>
          </w:p>
        </w:tc>
      </w:tr>
      <w:tr w:rsidR="00A252C1" w:rsidRPr="00B712F8" w:rsidTr="005B1D3E">
        <w:tc>
          <w:tcPr>
            <w:tcW w:w="1271" w:type="dxa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dashSmallGap" w:sz="4" w:space="0" w:color="BDD6EE" w:themeColor="accent1" w:themeTint="66"/>
              <w:bottom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公</w:t>
            </w:r>
          </w:p>
        </w:tc>
        <w:tc>
          <w:tcPr>
            <w:tcW w:w="1181" w:type="dxa"/>
            <w:gridSpan w:val="2"/>
            <w:tcBorders>
              <w:top w:val="dashSmallGap" w:sz="4" w:space="0" w:color="BDD6EE" w:themeColor="accent1" w:themeTint="66"/>
              <w:bottom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绝育情况</w:t>
            </w:r>
          </w:p>
        </w:tc>
        <w:tc>
          <w:tcPr>
            <w:tcW w:w="1087" w:type="dxa"/>
            <w:tcBorders>
              <w:top w:val="dashSmallGap" w:sz="4" w:space="0" w:color="BDD6EE" w:themeColor="accent1" w:themeTint="66"/>
              <w:bottom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未绝育</w:t>
            </w:r>
          </w:p>
        </w:tc>
        <w:tc>
          <w:tcPr>
            <w:tcW w:w="1962" w:type="dxa"/>
            <w:gridSpan w:val="4"/>
            <w:tcBorders>
              <w:top w:val="dashSmallGap" w:sz="4" w:space="0" w:color="BDD6EE" w:themeColor="accent1" w:themeTint="66"/>
              <w:bottom w:val="single" w:sz="8" w:space="0" w:color="2E74B5" w:themeColor="accent1" w:themeShade="BF"/>
            </w:tcBorders>
            <w:vAlign w:val="center"/>
          </w:tcPr>
          <w:p w:rsidR="00A252C1" w:rsidRPr="005B1D3E" w:rsidRDefault="00A252C1" w:rsidP="00A252C1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就诊时间</w:t>
            </w:r>
          </w:p>
        </w:tc>
        <w:tc>
          <w:tcPr>
            <w:tcW w:w="1803" w:type="dxa"/>
            <w:gridSpan w:val="2"/>
            <w:tcBorders>
              <w:top w:val="dashSmallGap" w:sz="4" w:space="0" w:color="BDD6EE" w:themeColor="accent1" w:themeTint="66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AC6036" w:rsidRPr="005B1D3E" w:rsidRDefault="00AC6036" w:rsidP="00AC6036">
            <w:pPr>
              <w:spacing w:line="400" w:lineRule="exact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2016.10.31</w:t>
            </w:r>
          </w:p>
        </w:tc>
      </w:tr>
      <w:tr w:rsidR="00A252C1" w:rsidRPr="00B712F8" w:rsidTr="005B1D3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clear" w:color="9CC2E5" w:themeColor="accent1" w:themeTint="99" w:fill="9CC2E5" w:themeFill="accent1" w:themeFillTint="99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病史及临床症状</w:t>
            </w:r>
            <w:r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（包含体况检查信息）</w:t>
            </w:r>
          </w:p>
        </w:tc>
      </w:tr>
      <w:tr w:rsidR="00A252C1" w:rsidRPr="00B712F8" w:rsidTr="00F545EE">
        <w:trPr>
          <w:trHeight w:val="634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病史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前一天倦怠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、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食欲下降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。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没有呕吐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、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腹泻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、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咳嗽等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。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与其他犬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、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猫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、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羊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、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猪一起生活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。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平常吃犬粮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发病前一天吃了生牛皮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。没有旅行史，没有受过伤。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体况检查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：警觉。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T = 103.7°F (39.8°C), HR = 80 beats/min, RR = 20 breaths/min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。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粘膜粉红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脱水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7-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8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%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。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腹部紧张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。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252C1" w:rsidRPr="00F545EE" w:rsidTr="00F545E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5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检查</w:t>
            </w:r>
            <w:r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——</w:t>
            </w: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CBC</w:t>
            </w:r>
          </w:p>
        </w:tc>
      </w:tr>
      <w:tr w:rsidR="00A252C1" w:rsidRPr="00B712F8" w:rsidTr="00F545EE">
        <w:trPr>
          <w:trHeight w:val="634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pStyle w:val="Pa77"/>
              <w:jc w:val="both"/>
              <w:rPr>
                <w:rFonts w:asciiTheme="minorHAnsi" w:eastAsiaTheme="minorEastAsia"/>
                <w:color w:val="1F4E79" w:themeColor="accent1" w:themeShade="80"/>
                <w:kern w:val="2"/>
              </w:rPr>
            </w:pPr>
            <w:r w:rsidRPr="005B1D3E">
              <w:rPr>
                <w:rFonts w:asciiTheme="minorHAnsi" w:eastAsiaTheme="minorEastAsia"/>
                <w:color w:val="1F4E79" w:themeColor="accent1" w:themeShade="80"/>
                <w:kern w:val="2"/>
              </w:rPr>
              <w:t xml:space="preserve">HCT    41.4% (40%-55%) </w:t>
            </w:r>
          </w:p>
          <w:p w:rsidR="00A252C1" w:rsidRPr="005B1D3E" w:rsidRDefault="00A252C1" w:rsidP="00F545EE">
            <w:pPr>
              <w:spacing w:line="400" w:lineRule="exact"/>
              <w:rPr>
                <w:color w:val="1F4E79" w:themeColor="accent1" w:themeShade="80"/>
              </w:rPr>
            </w:pPr>
            <w:r w:rsidRPr="005B1D3E">
              <w:rPr>
                <w:color w:val="1F4E79" w:themeColor="accent1" w:themeShade="80"/>
              </w:rPr>
              <w:t xml:space="preserve">MCV   70.2 fL (65-75 fL) 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MCHC  36.0 g/dL (33-36 g/dL)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WBC         8820 cells/μL (6000-13,000 cells/μL)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Neutrophils   7673 cells/μL (3000-10,500 cells/μL)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Lymphocytes  353 cells/μL (1000-4000 cells/μL)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Monocytes    441 cells/μL (150-1200 cells/μL)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Platelets      74,000 platelets/μL (150,000-400,000 platelets/μL).</w:t>
            </w:r>
          </w:p>
        </w:tc>
      </w:tr>
      <w:tr w:rsidR="00A252C1" w:rsidRPr="00B712F8" w:rsidTr="00F545E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5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检查</w:t>
            </w:r>
            <w:r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——</w:t>
            </w: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血液生化</w:t>
            </w:r>
          </w:p>
        </w:tc>
      </w:tr>
      <w:tr w:rsidR="00A252C1" w:rsidRPr="00B712F8" w:rsidTr="00F545EE">
        <w:trPr>
          <w:trHeight w:val="634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尿素氮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   90 mg/dL (8-31 mg/dL)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肌酐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     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4.6 mg/dL (0.5-1.6 mg/dL)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血糖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  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 110 mg/dL (70-118 mg/dL)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总蛋白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   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5.1 g/dL (5.4-7.4 g/dL)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白蛋白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  2.4 g/dL (2.9-4.2 g/dL)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lastRenderedPageBreak/>
              <w:t>球蛋白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  2.7 g/dL (2.3-4.4 g/dL)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ALT            42 U/L (19-67 U/L)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AST            146 U/L (21-54 U/L)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ALP            73 U/L (15-127 U/L)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CK             1387 U/L (46-320 U/L)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GGT            2 U/L (0-6 U/L)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胆固醇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 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189 mg/dL (135-345 mg/dL)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总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胆红素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 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0.4 mg/dL (0-0.4 mg/dL).</w:t>
            </w:r>
          </w:p>
        </w:tc>
      </w:tr>
      <w:tr w:rsidR="00A252C1" w:rsidRPr="00B712F8" w:rsidTr="00F545E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5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lastRenderedPageBreak/>
              <w:t>检查</w:t>
            </w:r>
            <w:r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——</w:t>
            </w: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血气</w:t>
            </w:r>
          </w:p>
        </w:tc>
      </w:tr>
      <w:tr w:rsidR="00A252C1" w:rsidRPr="00B712F8" w:rsidTr="00F545EE"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钠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   143 mmol/L (145-154 mmol/L)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钾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   3.7 mmol/L (4.1-5.3 mmol/L)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氯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 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104 mmol/L (105-116 mmol/L)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碳酸氢钠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 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17 mmol/L (16-26 mmol/L)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磷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   5.1 mg/dL (3.0-6.2 mg/dL)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钙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     9.6 mg/dL (9.9-11.4 mg/dl)</w:t>
            </w:r>
          </w:p>
        </w:tc>
      </w:tr>
      <w:tr w:rsidR="00A252C1" w:rsidRPr="00B712F8" w:rsidTr="00F545E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5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检查</w:t>
            </w:r>
            <w:r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——</w:t>
            </w: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影像学</w:t>
            </w:r>
          </w:p>
        </w:tc>
      </w:tr>
      <w:tr w:rsidR="00A252C1" w:rsidRPr="00B712F8" w:rsidTr="00F545EE">
        <w:trPr>
          <w:trHeight w:val="634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X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线：心肺结构无异常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腹部超声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肝脾增大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双肾轻度增大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，肾包囊及腹膜后腔少量积液。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如进行影像学检查，请将电子版作为附件提交。</w:t>
            </w:r>
          </w:p>
        </w:tc>
      </w:tr>
      <w:tr w:rsidR="00A252C1" w:rsidRPr="00B712F8" w:rsidTr="00F545E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5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检查</w:t>
            </w:r>
            <w:r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——</w:t>
            </w: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其他</w:t>
            </w:r>
          </w:p>
        </w:tc>
      </w:tr>
      <w:tr w:rsidR="00A252C1" w:rsidRPr="00B712F8" w:rsidTr="00F545EE">
        <w:trPr>
          <w:trHeight w:val="634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尿检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比重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1.013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pH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7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.5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蛋白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2+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，胆红素：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1+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，血红蛋白：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2+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，葡萄糖：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2+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WBC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0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RBC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20-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30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，上皮细胞：无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血凝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</w:p>
          <w:p w:rsidR="00A252C1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PT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8.8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（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7.5-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10.5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），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APTT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16.8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（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9-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12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）</w:t>
            </w:r>
          </w:p>
          <w:p w:rsidR="00A843D2" w:rsidRDefault="00A843D2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  <w:p w:rsidR="00A843D2" w:rsidRDefault="00A843D2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  <w:p w:rsidR="00A843D2" w:rsidRPr="005B1D3E" w:rsidRDefault="00A843D2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252C1" w:rsidRPr="00B712F8" w:rsidTr="00F545E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95" w:color="9CC2E5" w:themeColor="accent1" w:themeTint="99" w:fill="auto"/>
          </w:tcPr>
          <w:p w:rsidR="00A252C1" w:rsidRPr="005B1D3E" w:rsidRDefault="00A843D2" w:rsidP="00A843D2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PCR</w:t>
            </w:r>
            <w:r w:rsidR="00A252C1" w:rsidRPr="005B1D3E">
              <w:rPr>
                <w:b/>
                <w:color w:val="1F4E79" w:themeColor="accent1" w:themeShade="80"/>
                <w:sz w:val="24"/>
                <w:szCs w:val="24"/>
              </w:rPr>
              <w:t>检查</w:t>
            </w:r>
            <w:r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项目</w:t>
            </w:r>
            <w:r w:rsidR="00A252C1"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——（请注明样本类型）</w:t>
            </w:r>
          </w:p>
        </w:tc>
      </w:tr>
      <w:tr w:rsidR="00A252C1" w:rsidRPr="00B712F8" w:rsidTr="00F545EE">
        <w:trPr>
          <w:trHeight w:val="634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A252C1" w:rsidRPr="005B1D3E" w:rsidRDefault="00A252C1" w:rsidP="00B955D2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钩端螺旋体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（尿液）：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Ct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 xml:space="preserve">  28  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阳性</w:t>
            </w:r>
          </w:p>
        </w:tc>
      </w:tr>
      <w:tr w:rsidR="00A252C1" w:rsidRPr="00B712F8" w:rsidTr="00F545E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9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诊断结果</w:t>
            </w:r>
          </w:p>
        </w:tc>
      </w:tr>
      <w:tr w:rsidR="00A252C1" w:rsidRPr="00B712F8" w:rsidTr="00A843D2">
        <w:trPr>
          <w:trHeight w:val="634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A843D2" w:rsidRPr="005B1D3E" w:rsidRDefault="00A252C1" w:rsidP="00A843D2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钩端螺旋体感染</w:t>
            </w:r>
          </w:p>
        </w:tc>
      </w:tr>
      <w:tr w:rsidR="00A252C1" w:rsidRPr="00B712F8" w:rsidTr="005B1D3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9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lastRenderedPageBreak/>
              <w:t>治疗方案</w:t>
            </w:r>
          </w:p>
        </w:tc>
      </w:tr>
      <w:tr w:rsidR="00A252C1" w:rsidRPr="00B712F8" w:rsidTr="005B1D3E">
        <w:trPr>
          <w:trHeight w:val="956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静脉输液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、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甘露醇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、法莫替丁、氨苄西林（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20mg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/kg IV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 xml:space="preserve"> q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6h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）、呋塞米。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治疗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18h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后，开始透析。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2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天后，多尿，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3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天后，发生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DIC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，并出现持续性呕吐，输入新鲜血浆、昂丹司琼。第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4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天开始给予肠外营养。</w:t>
            </w:r>
          </w:p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252C1" w:rsidRPr="00B712F8" w:rsidTr="005B1D3E">
        <w:trPr>
          <w:trHeight w:val="393"/>
        </w:trPr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50" w:color="9CC2E5" w:themeColor="accent1" w:themeTint="99" w:fill="auto"/>
          </w:tcPr>
          <w:p w:rsidR="00A252C1" w:rsidRPr="005B1D3E" w:rsidRDefault="00A252C1" w:rsidP="00A252C1">
            <w:pPr>
              <w:spacing w:line="36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检查</w:t>
            </w:r>
            <w:r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——后续监测（包括血检、影像学等）</w:t>
            </w:r>
          </w:p>
        </w:tc>
      </w:tr>
      <w:tr w:rsidR="00A252C1" w:rsidRPr="00B712F8" w:rsidTr="005B1D3E">
        <w:trPr>
          <w:trHeight w:val="956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59264" behindDoc="0" locked="0" layoutInCell="1" allowOverlap="1" wp14:anchorId="5AE89F7F" wp14:editId="293B9EFC">
                  <wp:simplePos x="0" y="0"/>
                  <wp:positionH relativeFrom="column">
                    <wp:posOffset>108777</wp:posOffset>
                  </wp:positionH>
                  <wp:positionV relativeFrom="paragraph">
                    <wp:posOffset>101756</wp:posOffset>
                  </wp:positionV>
                  <wp:extent cx="4910994" cy="1492754"/>
                  <wp:effectExtent l="0" t="0" r="4445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994" cy="149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52C1" w:rsidRPr="00B712F8" w:rsidTr="005B1D3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5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病例转归</w:t>
            </w:r>
          </w:p>
        </w:tc>
      </w:tr>
      <w:tr w:rsidR="00A252C1" w:rsidRPr="00B712F8" w:rsidTr="005B1D3E">
        <w:trPr>
          <w:trHeight w:val="634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color w:val="1F4E79" w:themeColor="accent1" w:themeShade="80"/>
                <w:sz w:val="24"/>
                <w:szCs w:val="24"/>
              </w:rPr>
              <w:t>好转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，</w:t>
            </w:r>
            <w:r w:rsidRPr="005B1D3E">
              <w:rPr>
                <w:color w:val="1F4E79" w:themeColor="accent1" w:themeShade="80"/>
                <w:sz w:val="24"/>
                <w:szCs w:val="24"/>
              </w:rPr>
              <w:t>痊愈</w:t>
            </w:r>
            <w:r w:rsidRPr="005B1D3E">
              <w:rPr>
                <w:rFonts w:hint="eastAsia"/>
                <w:color w:val="1F4E79" w:themeColor="accent1" w:themeShade="80"/>
                <w:sz w:val="24"/>
                <w:szCs w:val="24"/>
              </w:rPr>
              <w:t>。</w:t>
            </w:r>
          </w:p>
        </w:tc>
      </w:tr>
      <w:tr w:rsidR="00A252C1" w:rsidRPr="00B712F8" w:rsidTr="005B1D3E"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5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b/>
                <w:color w:val="1F4E79" w:themeColor="accent1" w:themeShade="80"/>
                <w:sz w:val="24"/>
                <w:szCs w:val="24"/>
              </w:rPr>
              <w:t>复诊信息</w:t>
            </w:r>
          </w:p>
        </w:tc>
      </w:tr>
      <w:tr w:rsidR="00A252C1" w:rsidRPr="00B712F8" w:rsidTr="005B1D3E">
        <w:trPr>
          <w:trHeight w:val="1278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8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252C1" w:rsidRPr="00B712F8" w:rsidTr="005B1D3E">
        <w:trPr>
          <w:trHeight w:val="274"/>
        </w:trPr>
        <w:tc>
          <w:tcPr>
            <w:tcW w:w="8296" w:type="dxa"/>
            <w:gridSpan w:val="12"/>
            <w:tcBorders>
              <w:top w:val="single" w:sz="8" w:space="0" w:color="2E74B5" w:themeColor="accent1" w:themeShade="BF"/>
              <w:left w:val="single" w:sz="12" w:space="0" w:color="2E74B5" w:themeColor="accent1" w:themeShade="BF"/>
              <w:bottom w:val="dashSmallGap" w:sz="4" w:space="0" w:color="BDD6EE" w:themeColor="accent1" w:themeTint="66"/>
              <w:right w:val="single" w:sz="12" w:space="0" w:color="2E74B5" w:themeColor="accent1" w:themeShade="BF"/>
            </w:tcBorders>
            <w:shd w:val="pct50" w:color="9CC2E5" w:themeColor="accent1" w:themeTint="99" w:fill="auto"/>
          </w:tcPr>
          <w:p w:rsidR="00A252C1" w:rsidRPr="005B1D3E" w:rsidRDefault="00A252C1" w:rsidP="00A252C1">
            <w:pPr>
              <w:spacing w:line="400" w:lineRule="exact"/>
              <w:rPr>
                <w:b/>
                <w:color w:val="1F4E79" w:themeColor="accent1" w:themeShade="80"/>
                <w:sz w:val="24"/>
                <w:szCs w:val="24"/>
              </w:rPr>
            </w:pPr>
            <w:r w:rsidRPr="005B1D3E">
              <w:rPr>
                <w:rFonts w:hint="eastAsia"/>
                <w:b/>
                <w:color w:val="1F4E79" w:themeColor="accent1" w:themeShade="80"/>
                <w:sz w:val="24"/>
                <w:szCs w:val="24"/>
              </w:rPr>
              <w:t>附：选择该病例的理由</w:t>
            </w:r>
          </w:p>
        </w:tc>
      </w:tr>
      <w:tr w:rsidR="00A252C1" w:rsidRPr="00B712F8" w:rsidTr="005B1D3E">
        <w:trPr>
          <w:trHeight w:val="1278"/>
        </w:trPr>
        <w:tc>
          <w:tcPr>
            <w:tcW w:w="8296" w:type="dxa"/>
            <w:gridSpan w:val="12"/>
            <w:tcBorders>
              <w:top w:val="dashSmallGap" w:sz="4" w:space="0" w:color="BDD6EE" w:themeColor="accent1" w:themeTint="66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252C1" w:rsidRPr="005B1D3E" w:rsidRDefault="00A252C1" w:rsidP="00A252C1">
            <w:pPr>
              <w:spacing w:line="360" w:lineRule="exact"/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B712F8" w:rsidRPr="00835D78" w:rsidRDefault="00B712F8" w:rsidP="005B1D3E">
      <w:pPr>
        <w:jc w:val="left"/>
      </w:pPr>
    </w:p>
    <w:sectPr w:rsidR="00B712F8" w:rsidRPr="00835D7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AD" w:rsidRDefault="00F616AD" w:rsidP="00793CD6">
      <w:r>
        <w:separator/>
      </w:r>
    </w:p>
  </w:endnote>
  <w:endnote w:type="continuationSeparator" w:id="0">
    <w:p w:rsidR="00F616AD" w:rsidRDefault="00F616AD" w:rsidP="0079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AD" w:rsidRDefault="00F616AD" w:rsidP="00793CD6">
      <w:r>
        <w:separator/>
      </w:r>
    </w:p>
  </w:footnote>
  <w:footnote w:type="continuationSeparator" w:id="0">
    <w:p w:rsidR="00F616AD" w:rsidRDefault="00F616AD" w:rsidP="0079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3E" w:rsidRPr="005B1D3E" w:rsidRDefault="005B1D3E" w:rsidP="005B1D3E">
    <w:pPr>
      <w:pStyle w:val="a4"/>
      <w:pBdr>
        <w:bottom w:val="single" w:sz="12" w:space="1" w:color="2E74B5" w:themeColor="accent1" w:themeShade="BF"/>
      </w:pBdr>
      <w:jc w:val="left"/>
    </w:pPr>
    <w:r>
      <w:rPr>
        <w:noProof/>
        <w:color w:val="5B9BD5" w:themeColor="accent1"/>
        <w:sz w:val="21"/>
        <w:szCs w:val="21"/>
      </w:rPr>
      <w:drawing>
        <wp:inline distT="0" distB="0" distL="0" distR="0" wp14:anchorId="66ECF73C" wp14:editId="2BD5ACDD">
          <wp:extent cx="1209600" cy="504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元亨图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1F4E79" w:themeColor="accent1" w:themeShade="80"/>
        <w:sz w:val="21"/>
        <w:szCs w:val="21"/>
      </w:rPr>
      <w:t xml:space="preserve">                                   </w:t>
    </w:r>
    <w:r w:rsidRPr="005B1D3E">
      <w:rPr>
        <w:color w:val="1F4E79" w:themeColor="accent1" w:themeShade="80"/>
        <w:sz w:val="21"/>
        <w:szCs w:val="21"/>
      </w:rPr>
      <w:t>世纪元亨</w:t>
    </w:r>
    <w:r w:rsidRPr="005B1D3E">
      <w:rPr>
        <w:rFonts w:hint="eastAsia"/>
        <w:color w:val="1F4E79" w:themeColor="accent1" w:themeShade="80"/>
        <w:sz w:val="21"/>
        <w:szCs w:val="21"/>
      </w:rPr>
      <w:t>V8</w:t>
    </w:r>
    <w:r w:rsidRPr="005B1D3E">
      <w:rPr>
        <w:rFonts w:hint="eastAsia"/>
        <w:color w:val="1F4E79" w:themeColor="accent1" w:themeShade="80"/>
        <w:sz w:val="21"/>
        <w:szCs w:val="21"/>
      </w:rPr>
      <w:t>病例征集表</w:t>
    </w:r>
    <w:r w:rsidR="009557AF">
      <w:rPr>
        <w:rFonts w:hint="eastAsia"/>
        <w:color w:val="1F4E79" w:themeColor="accent1" w:themeShade="80"/>
        <w:sz w:val="21"/>
        <w:szCs w:val="21"/>
      </w:rPr>
      <w:t xml:space="preserve">   P</w:t>
    </w:r>
    <w:r w:rsidR="009557AF" w:rsidRPr="009557AF">
      <w:rPr>
        <w:color w:val="1F4E79" w:themeColor="accent1" w:themeShade="80"/>
        <w:sz w:val="21"/>
        <w:szCs w:val="21"/>
      </w:rPr>
      <w:fldChar w:fldCharType="begin"/>
    </w:r>
    <w:r w:rsidR="009557AF" w:rsidRPr="009557AF">
      <w:rPr>
        <w:color w:val="1F4E79" w:themeColor="accent1" w:themeShade="80"/>
        <w:sz w:val="21"/>
        <w:szCs w:val="21"/>
      </w:rPr>
      <w:instrText>PAGE   \* MERGEFORMAT</w:instrText>
    </w:r>
    <w:r w:rsidR="009557AF" w:rsidRPr="009557AF">
      <w:rPr>
        <w:color w:val="1F4E79" w:themeColor="accent1" w:themeShade="80"/>
        <w:sz w:val="21"/>
        <w:szCs w:val="21"/>
      </w:rPr>
      <w:fldChar w:fldCharType="separate"/>
    </w:r>
    <w:r w:rsidR="00D16973" w:rsidRPr="00D16973">
      <w:rPr>
        <w:noProof/>
        <w:color w:val="1F4E79" w:themeColor="accent1" w:themeShade="80"/>
        <w:sz w:val="21"/>
        <w:szCs w:val="21"/>
        <w:lang w:val="zh-CN"/>
      </w:rPr>
      <w:t>1</w:t>
    </w:r>
    <w:r w:rsidR="009557AF" w:rsidRPr="009557AF">
      <w:rPr>
        <w:color w:val="1F4E79" w:themeColor="accent1" w:themeShade="80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8262A"/>
    <w:multiLevelType w:val="hybridMultilevel"/>
    <w:tmpl w:val="9882402E"/>
    <w:lvl w:ilvl="0" w:tplc="870ECC4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2E"/>
    <w:rsid w:val="000D7AB5"/>
    <w:rsid w:val="00181F7C"/>
    <w:rsid w:val="00285772"/>
    <w:rsid w:val="002A5C7A"/>
    <w:rsid w:val="003B0843"/>
    <w:rsid w:val="0047506B"/>
    <w:rsid w:val="005B1D3E"/>
    <w:rsid w:val="006058B1"/>
    <w:rsid w:val="00610F2E"/>
    <w:rsid w:val="00620806"/>
    <w:rsid w:val="006620F8"/>
    <w:rsid w:val="00793CD6"/>
    <w:rsid w:val="00835D78"/>
    <w:rsid w:val="009557AF"/>
    <w:rsid w:val="009A0833"/>
    <w:rsid w:val="00A252C1"/>
    <w:rsid w:val="00A80E96"/>
    <w:rsid w:val="00A843D2"/>
    <w:rsid w:val="00AC6036"/>
    <w:rsid w:val="00B712F8"/>
    <w:rsid w:val="00B955D2"/>
    <w:rsid w:val="00C70642"/>
    <w:rsid w:val="00CD316F"/>
    <w:rsid w:val="00D16973"/>
    <w:rsid w:val="00E72157"/>
    <w:rsid w:val="00F42524"/>
    <w:rsid w:val="00F545EE"/>
    <w:rsid w:val="00F616AD"/>
    <w:rsid w:val="00F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839E5-7A37-47A0-BC97-AFEF03BE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9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3C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3CD6"/>
    <w:rPr>
      <w:sz w:val="18"/>
      <w:szCs w:val="18"/>
    </w:rPr>
  </w:style>
  <w:style w:type="paragraph" w:customStyle="1" w:styleId="Pa77">
    <w:name w:val="Pa7++7"/>
    <w:basedOn w:val="a"/>
    <w:next w:val="a"/>
    <w:uiPriority w:val="99"/>
    <w:rsid w:val="000D7AB5"/>
    <w:pPr>
      <w:autoSpaceDE w:val="0"/>
      <w:autoSpaceDN w:val="0"/>
      <w:adjustRightInd w:val="0"/>
      <w:spacing w:line="180" w:lineRule="atLeast"/>
      <w:jc w:val="left"/>
    </w:pPr>
    <w:rPr>
      <w:rFonts w:ascii="Myriad Pro" w:eastAsia="Myriad Pro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252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B1D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1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周露云</dc:creator>
  <cp:keywords/>
  <dc:description/>
  <cp:lastModifiedBy>周露云</cp:lastModifiedBy>
  <cp:revision>9</cp:revision>
  <dcterms:created xsi:type="dcterms:W3CDTF">2016-10-13T08:16:00Z</dcterms:created>
  <dcterms:modified xsi:type="dcterms:W3CDTF">2016-11-01T03:09:00Z</dcterms:modified>
</cp:coreProperties>
</file>